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15" w:rsidRPr="00226E68" w:rsidRDefault="00EA3015" w:rsidP="00EA3015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ProbaPro" w:eastAsia="Times New Roman" w:hAnsi="ProbaPro" w:cs="Times New Roman"/>
          <w:b/>
          <w:bCs/>
          <w:color w:val="000000"/>
          <w:kern w:val="36"/>
          <w:sz w:val="40"/>
          <w:szCs w:val="40"/>
          <w:lang w:val="ru-RU"/>
        </w:rPr>
      </w:pPr>
      <w:proofErr w:type="spellStart"/>
      <w:r w:rsidRPr="00226E68">
        <w:rPr>
          <w:rFonts w:ascii="ProbaPro" w:eastAsia="Times New Roman" w:hAnsi="ProbaPro" w:cs="Times New Roman"/>
          <w:b/>
          <w:bCs/>
          <w:color w:val="000000"/>
          <w:kern w:val="36"/>
          <w:sz w:val="40"/>
          <w:szCs w:val="40"/>
          <w:lang w:val="ru-RU"/>
        </w:rPr>
        <w:t>Повідомлення</w:t>
      </w:r>
      <w:proofErr w:type="spellEnd"/>
      <w:r w:rsidRPr="00226E68">
        <w:rPr>
          <w:rFonts w:ascii="ProbaPro" w:eastAsia="Times New Roman" w:hAnsi="ProbaPro" w:cs="Times New Roman"/>
          <w:b/>
          <w:bCs/>
          <w:color w:val="000000"/>
          <w:kern w:val="36"/>
          <w:sz w:val="40"/>
          <w:szCs w:val="40"/>
          <w:lang w:val="ru-RU"/>
        </w:rPr>
        <w:t xml:space="preserve"> про </w:t>
      </w:r>
      <w:proofErr w:type="spellStart"/>
      <w:r w:rsidRPr="00226E68">
        <w:rPr>
          <w:rFonts w:ascii="ProbaPro" w:eastAsia="Times New Roman" w:hAnsi="ProbaPro" w:cs="Times New Roman"/>
          <w:b/>
          <w:bCs/>
          <w:color w:val="000000"/>
          <w:kern w:val="36"/>
          <w:sz w:val="40"/>
          <w:szCs w:val="40"/>
          <w:lang w:val="ru-RU"/>
        </w:rPr>
        <w:t>суттєві</w:t>
      </w:r>
      <w:proofErr w:type="spellEnd"/>
      <w:r w:rsidRPr="00226E68">
        <w:rPr>
          <w:rFonts w:ascii="ProbaPro" w:eastAsia="Times New Roman" w:hAnsi="ProbaPro" w:cs="Times New Roman"/>
          <w:b/>
          <w:bCs/>
          <w:color w:val="000000"/>
          <w:kern w:val="36"/>
          <w:sz w:val="40"/>
          <w:szCs w:val="40"/>
          <w:lang w:val="ru-RU"/>
        </w:rPr>
        <w:t xml:space="preserve"> </w:t>
      </w:r>
      <w:proofErr w:type="spellStart"/>
      <w:r w:rsidRPr="00226E68">
        <w:rPr>
          <w:rFonts w:ascii="ProbaPro" w:eastAsia="Times New Roman" w:hAnsi="ProbaPro" w:cs="Times New Roman"/>
          <w:b/>
          <w:bCs/>
          <w:color w:val="000000"/>
          <w:kern w:val="36"/>
          <w:sz w:val="40"/>
          <w:szCs w:val="40"/>
          <w:lang w:val="ru-RU"/>
        </w:rPr>
        <w:t>зміни</w:t>
      </w:r>
      <w:proofErr w:type="spellEnd"/>
      <w:r w:rsidRPr="00226E68">
        <w:rPr>
          <w:rFonts w:ascii="ProbaPro" w:eastAsia="Times New Roman" w:hAnsi="ProbaPro" w:cs="Times New Roman"/>
          <w:b/>
          <w:bCs/>
          <w:color w:val="000000"/>
          <w:kern w:val="36"/>
          <w:sz w:val="40"/>
          <w:szCs w:val="40"/>
          <w:lang w:val="ru-RU"/>
        </w:rPr>
        <w:t xml:space="preserve">  </w:t>
      </w:r>
    </w:p>
    <w:p w:rsidR="00EA3015" w:rsidRPr="00226E68" w:rsidRDefault="00EA3015" w:rsidP="00EA301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ProbaPro" w:eastAsia="Times New Roman" w:hAnsi="ProbaPro" w:cs="Times New Roman"/>
          <w:b/>
          <w:bCs/>
          <w:color w:val="000000"/>
          <w:kern w:val="36"/>
          <w:sz w:val="40"/>
          <w:szCs w:val="40"/>
          <w:lang w:val="ru-RU"/>
        </w:rPr>
      </w:pPr>
      <w:r w:rsidRPr="00226E68">
        <w:rPr>
          <w:rFonts w:ascii="ProbaPro" w:eastAsia="Times New Roman" w:hAnsi="ProbaPro" w:cs="Times New Roman"/>
          <w:b/>
          <w:bCs/>
          <w:color w:val="000000"/>
          <w:kern w:val="36"/>
          <w:sz w:val="40"/>
          <w:szCs w:val="40"/>
          <w:lang w:val="ru-RU"/>
        </w:rPr>
        <w:t xml:space="preserve">в </w:t>
      </w:r>
      <w:proofErr w:type="spellStart"/>
      <w:r w:rsidRPr="00226E68">
        <w:rPr>
          <w:rFonts w:ascii="ProbaPro" w:eastAsia="Times New Roman" w:hAnsi="ProbaPro" w:cs="Times New Roman"/>
          <w:b/>
          <w:bCs/>
          <w:color w:val="000000"/>
          <w:kern w:val="36"/>
          <w:sz w:val="40"/>
          <w:szCs w:val="40"/>
          <w:lang w:val="ru-RU"/>
        </w:rPr>
        <w:t>майновому</w:t>
      </w:r>
      <w:proofErr w:type="spellEnd"/>
      <w:r w:rsidRPr="00226E68">
        <w:rPr>
          <w:rFonts w:ascii="ProbaPro" w:eastAsia="Times New Roman" w:hAnsi="ProbaPro" w:cs="Times New Roman"/>
          <w:b/>
          <w:bCs/>
          <w:color w:val="000000"/>
          <w:kern w:val="36"/>
          <w:sz w:val="40"/>
          <w:szCs w:val="40"/>
          <w:lang w:val="ru-RU"/>
        </w:rPr>
        <w:t xml:space="preserve"> </w:t>
      </w:r>
      <w:proofErr w:type="spellStart"/>
      <w:r w:rsidRPr="00226E68">
        <w:rPr>
          <w:rFonts w:ascii="ProbaPro" w:eastAsia="Times New Roman" w:hAnsi="ProbaPro" w:cs="Times New Roman"/>
          <w:b/>
          <w:bCs/>
          <w:color w:val="000000"/>
          <w:kern w:val="36"/>
          <w:sz w:val="40"/>
          <w:szCs w:val="40"/>
          <w:lang w:val="ru-RU"/>
        </w:rPr>
        <w:t>стані</w:t>
      </w:r>
      <w:proofErr w:type="spellEnd"/>
    </w:p>
    <w:p w:rsidR="00EA3015" w:rsidRPr="00226E68" w:rsidRDefault="00EA3015" w:rsidP="00EA301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ProbaPro" w:eastAsia="Times New Roman" w:hAnsi="ProbaPro" w:cs="Times New Roman"/>
          <w:b/>
          <w:bCs/>
          <w:color w:val="000000"/>
          <w:kern w:val="36"/>
          <w:sz w:val="40"/>
          <w:szCs w:val="40"/>
          <w:lang w:val="ru-RU"/>
        </w:rPr>
      </w:pPr>
    </w:p>
    <w:p w:rsidR="00EA3015" w:rsidRPr="00226E68" w:rsidRDefault="00EA3015" w:rsidP="00EA301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  <w:proofErr w:type="spellStart"/>
      <w:r w:rsidRPr="00226E68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>Опубліковано</w:t>
      </w:r>
      <w:proofErr w:type="spellEnd"/>
      <w:r w:rsidRPr="00226E68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 на </w:t>
      </w:r>
      <w:proofErr w:type="spellStart"/>
      <w:r w:rsidRPr="00226E68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>сайті</w:t>
      </w:r>
      <w:proofErr w:type="spellEnd"/>
      <w:r w:rsidRPr="00226E68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 </w:t>
      </w:r>
      <w:proofErr w:type="gramStart"/>
      <w:r w:rsidRPr="00226E68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>НАЗК  20</w:t>
      </w:r>
      <w:proofErr w:type="gramEnd"/>
      <w:r w:rsidRPr="00226E68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 листопада 2024 року о 09:10</w:t>
      </w:r>
    </w:p>
    <w:p w:rsidR="00EA3015" w:rsidRPr="00EA3015" w:rsidRDefault="00EA3015" w:rsidP="00EA3015">
      <w:pPr>
        <w:shd w:val="clear" w:color="auto" w:fill="FFFFFF"/>
        <w:spacing w:beforeAutospacing="1" w:after="0" w:line="240" w:lineRule="auto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0"/>
          <w:szCs w:val="30"/>
          <w:lang w:val="ru-RU"/>
        </w:rPr>
      </w:pPr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Як подати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повідомлення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про</w:t>
      </w:r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en-US"/>
        </w:rPr>
        <w:t> 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суттєві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зміни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в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майновому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стані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та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хто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</w:t>
      </w:r>
      <w:bookmarkStart w:id="0" w:name="_GoBack"/>
      <w:bookmarkEnd w:id="0"/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має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його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подавати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?</w:t>
      </w:r>
    </w:p>
    <w:p w:rsidR="00EA3015" w:rsidRPr="00EA3015" w:rsidRDefault="00EA3015" w:rsidP="00EA3015">
      <w:pPr>
        <w:shd w:val="clear" w:color="auto" w:fill="FFFFFF"/>
        <w:spacing w:after="0" w:line="276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Обов'язок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подання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повідомлення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про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суттєві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зміни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майновому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стані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(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далі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– ПСЗ)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відповідно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до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статті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52 Закону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України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«Про запобігання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корупції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» (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далі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– Закон)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поширюється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не на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всіх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публічних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службовців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лише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окремі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категорії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з числа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суб'єктів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декларування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саме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:</w:t>
      </w:r>
    </w:p>
    <w:p w:rsidR="00EA3015" w:rsidRPr="00EA3015" w:rsidRDefault="00EA3015" w:rsidP="00EA3015">
      <w:pPr>
        <w:numPr>
          <w:ilvl w:val="0"/>
          <w:numId w:val="2"/>
        </w:numPr>
        <w:shd w:val="clear" w:color="auto" w:fill="FFFFFF"/>
        <w:spacing w:beforeAutospacing="1" w:after="0" w:line="276" w:lineRule="auto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декларантів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які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обіймають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t> </w:t>
      </w:r>
      <w:hyperlink r:id="rId5" w:history="1">
        <w:r w:rsidRPr="00EA3015">
          <w:rPr>
            <w:rFonts w:ascii="ProbaPro" w:eastAsia="Times New Roman" w:hAnsi="ProbaPro" w:cs="Times New Roman"/>
            <w:i/>
            <w:iCs/>
            <w:color w:val="004BC1"/>
            <w:sz w:val="27"/>
            <w:szCs w:val="27"/>
            <w:bdr w:val="none" w:sz="0" w:space="0" w:color="auto" w:frame="1"/>
            <w:lang w:val="en-US"/>
          </w:rPr>
          <w:t> </w:t>
        </w:r>
      </w:hyperlink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 xml:space="preserve">посади </w:t>
      </w:r>
      <w:proofErr w:type="spellStart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>пов'язані</w:t>
      </w:r>
      <w:proofErr w:type="spellEnd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 xml:space="preserve"> з </w:t>
      </w:r>
      <w:proofErr w:type="spellStart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>високим</w:t>
      </w:r>
      <w:proofErr w:type="spellEnd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>рівнем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fldChar w:fldCharType="begin"/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 xml:space="preserve"> 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HYPERLINK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 xml:space="preserve"> "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https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>://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wiki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>.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nazk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>.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gov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>.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ua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 xml:space="preserve">/4202/" 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fldChar w:fldCharType="separate"/>
      </w:r>
      <w:r w:rsidRPr="00EA3015">
        <w:rPr>
          <w:rFonts w:ascii="ProbaPro" w:eastAsia="Times New Roman" w:hAnsi="ProbaPro" w:cs="Times New Roman"/>
          <w:i/>
          <w:iCs/>
          <w:color w:val="004BC1"/>
          <w:sz w:val="27"/>
          <w:szCs w:val="27"/>
          <w:bdr w:val="none" w:sz="0" w:space="0" w:color="auto" w:frame="1"/>
          <w:lang w:val="en-US"/>
        </w:rPr>
        <w:t> </w: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fldChar w:fldCharType="end"/>
      </w:r>
      <w:proofErr w:type="spellStart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u w:val="single"/>
          <w:bdr w:val="none" w:sz="0" w:space="0" w:color="auto" w:frame="1"/>
          <w:lang w:val="ru-RU"/>
        </w:rPr>
        <w:t>корупційних</w:t>
      </w:r>
      <w:proofErr w:type="spellEnd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u w:val="single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u w:val="single"/>
          <w:bdr w:val="none" w:sz="0" w:space="0" w:color="auto" w:frame="1"/>
          <w:lang w:val="ru-RU"/>
        </w:rPr>
        <w:t>ризиків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fldChar w:fldCharType="begin"/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 xml:space="preserve"> 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HYPERLINK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 xml:space="preserve"> "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https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>://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wiki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>.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nazk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>.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gov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>.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ua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 xml:space="preserve">/4202/" 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fldChar w:fldCharType="separate"/>
      </w:r>
      <w:r w:rsidRPr="00EA3015">
        <w:rPr>
          <w:rFonts w:ascii="ProbaPro" w:eastAsia="Times New Roman" w:hAnsi="ProbaPro" w:cs="Times New Roman"/>
          <w:color w:val="004BC1"/>
          <w:sz w:val="27"/>
          <w:szCs w:val="27"/>
          <w:u w:val="single"/>
          <w:bdr w:val="none" w:sz="0" w:space="0" w:color="auto" w:frame="1"/>
          <w:lang w:val="ru-RU"/>
        </w:rPr>
        <w:t>,</w: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fldChar w:fldCharType="end"/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t> 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відповідно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до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переліку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затвердженого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наказом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Національного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агентства з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питань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запобігання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корупції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від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06.11.2023 №249/23;</w:t>
      </w:r>
    </w:p>
    <w:p w:rsidR="00EA3015" w:rsidRPr="00EA3015" w:rsidRDefault="00EA3015" w:rsidP="00EA3015">
      <w:pPr>
        <w:numPr>
          <w:ilvl w:val="0"/>
          <w:numId w:val="2"/>
        </w:numPr>
        <w:shd w:val="clear" w:color="auto" w:fill="FFFFFF"/>
        <w:spacing w:beforeAutospacing="1" w:after="0" w:line="276" w:lineRule="auto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>службових</w:t>
      </w:r>
      <w:proofErr w:type="spellEnd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>осіб</w:t>
      </w:r>
      <w:proofErr w:type="spellEnd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>які</w:t>
      </w:r>
      <w:proofErr w:type="spellEnd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>займають</w:t>
      </w:r>
      <w:proofErr w:type="spellEnd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>відповідальне</w:t>
      </w:r>
      <w:proofErr w:type="spellEnd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 xml:space="preserve"> та особливо </w:t>
      </w:r>
      <w:proofErr w:type="spellStart"/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>відповідальне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fldChar w:fldCharType="begin"/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 xml:space="preserve"> 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HYPERLINK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 xml:space="preserve"> "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https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>://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wiki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>.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nazk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>.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gov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>.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instrText>ua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instrText xml:space="preserve">/4199/" </w:instrTex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fldChar w:fldCharType="separate"/>
      </w:r>
      <w:r w:rsidRPr="00EA3015">
        <w:rPr>
          <w:rFonts w:ascii="ProbaPro" w:eastAsia="Times New Roman" w:hAnsi="ProbaPro" w:cs="Times New Roman"/>
          <w:i/>
          <w:iCs/>
          <w:color w:val="004BC1"/>
          <w:sz w:val="27"/>
          <w:szCs w:val="27"/>
          <w:bdr w:val="none" w:sz="0" w:space="0" w:color="auto" w:frame="1"/>
          <w:lang w:val="en-US"/>
        </w:rPr>
        <w:t> </w:t>
      </w: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fldChar w:fldCharType="end"/>
      </w:r>
      <w:r w:rsidRPr="00EA3015">
        <w:rPr>
          <w:rFonts w:ascii="ProbaPro" w:eastAsia="Times New Roman" w:hAnsi="ProbaPro" w:cs="Times New Roman"/>
          <w:i/>
          <w:iCs/>
          <w:color w:val="212529"/>
          <w:sz w:val="27"/>
          <w:szCs w:val="27"/>
          <w:bdr w:val="none" w:sz="0" w:space="0" w:color="auto" w:frame="1"/>
          <w:lang w:val="ru-RU"/>
        </w:rPr>
        <w:t>становище</w:t>
      </w:r>
      <w:hyperlink r:id="rId6" w:history="1">
        <w:r w:rsidRPr="00EA3015">
          <w:rPr>
            <w:rFonts w:ascii="ProbaPro" w:eastAsia="Times New Roman" w:hAnsi="ProbaPro" w:cs="Times New Roman"/>
            <w:color w:val="004BC1"/>
            <w:sz w:val="27"/>
            <w:szCs w:val="27"/>
            <w:u w:val="single"/>
            <w:bdr w:val="none" w:sz="0" w:space="0" w:color="auto" w:frame="1"/>
            <w:lang w:val="en-US"/>
          </w:rPr>
          <w:t> </w:t>
        </w:r>
      </w:hyperlink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відповідно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до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статті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51³ Закону.</w:t>
      </w:r>
    </w:p>
    <w:p w:rsidR="00EA3015" w:rsidRPr="00EA3015" w:rsidRDefault="00EA3015" w:rsidP="00EA3015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Всі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інші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категорії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публічних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службовців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зобов'язані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подавати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такі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повідомлення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.</w:t>
      </w:r>
    </w:p>
    <w:p w:rsidR="00EA3015" w:rsidRPr="00EA3015" w:rsidRDefault="00EA3015" w:rsidP="00EA3015">
      <w:pPr>
        <w:shd w:val="clear" w:color="auto" w:fill="FFFFFF"/>
        <w:spacing w:before="450" w:after="0" w:line="240" w:lineRule="auto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0"/>
          <w:szCs w:val="30"/>
          <w:lang w:val="ru-RU"/>
        </w:rPr>
      </w:pPr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Коли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виникає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обов’язок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подати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повідомлення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про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суттєві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зміни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в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майновому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стані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?</w:t>
      </w:r>
    </w:p>
    <w:p w:rsidR="00EA3015" w:rsidRPr="00EA3015" w:rsidRDefault="00EA3015" w:rsidP="00EA3015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разі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отримання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доходу,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придбання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майна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або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здійснення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видатку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декларантом на суму, яка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перевищує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50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прожиткових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мінімумів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встановлених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для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працездатних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осіб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на 1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січня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відповідного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року (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далі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– ПМ).</w:t>
      </w:r>
    </w:p>
    <w:p w:rsidR="00EA3015" w:rsidRPr="00EA3015" w:rsidRDefault="00EA3015" w:rsidP="00EA3015">
      <w:pPr>
        <w:shd w:val="clear" w:color="auto" w:fill="FFFFFF"/>
        <w:spacing w:after="0" w:line="276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Обов’язок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подати ПСЗ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виникає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лише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en-US"/>
        </w:rPr>
        <w:t> </w:t>
      </w:r>
      <w:r w:rsidRPr="00EA3015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за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сукупності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en-US"/>
        </w:rPr>
        <w:t> </w:t>
      </w:r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таких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обставин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:</w:t>
      </w:r>
    </w:p>
    <w:p w:rsidR="00EA3015" w:rsidRPr="00EA3015" w:rsidRDefault="00EA3015" w:rsidP="00EA3015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отримано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дохід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придбано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майно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здійснено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видаток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;</w:t>
      </w:r>
    </w:p>
    <w:p w:rsidR="00EA3015" w:rsidRPr="00EA3015" w:rsidRDefault="00EA3015" w:rsidP="00EA3015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дохід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отримав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/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майно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придбав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/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видаток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здійснив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t> 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27"/>
          <w:szCs w:val="27"/>
          <w:bdr w:val="none" w:sz="0" w:space="0" w:color="auto" w:frame="1"/>
          <w:lang w:val="ru-RU"/>
        </w:rPr>
        <w:t>саме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27"/>
          <w:szCs w:val="27"/>
          <w:bdr w:val="none" w:sz="0" w:space="0" w:color="auto" w:frame="1"/>
          <w:lang w:val="ru-RU"/>
        </w:rPr>
        <w:t>суб’єкт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27"/>
          <w:szCs w:val="27"/>
          <w:bdr w:val="none" w:sz="0" w:space="0" w:color="auto" w:frame="1"/>
          <w:lang w:val="ru-RU"/>
        </w:rPr>
        <w:t>декларування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;</w:t>
      </w:r>
    </w:p>
    <w:p w:rsidR="00EA3015" w:rsidRPr="00EA3015" w:rsidRDefault="00EA3015" w:rsidP="00EA3015">
      <w:pPr>
        <w:shd w:val="clear" w:color="auto" w:fill="FFFFFF"/>
        <w:spacing w:after="0" w:line="276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розмір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доходу /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видатку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перевищує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50 ПМ.</w:t>
      </w:r>
    </w:p>
    <w:p w:rsidR="00EA3015" w:rsidRPr="00EA3015" w:rsidRDefault="00EA3015" w:rsidP="00EA3015">
      <w:pPr>
        <w:shd w:val="clear" w:color="auto" w:fill="FFFFFF"/>
        <w:spacing w:after="0" w:line="276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Подання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ПСЗ в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інших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випадках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(у тому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числі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щодо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членів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сім’ї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) Законом не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передбачене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.</w:t>
      </w:r>
    </w:p>
    <w:p w:rsidR="00EA3015" w:rsidRPr="00EA3015" w:rsidRDefault="00EA3015" w:rsidP="00EA3015">
      <w:pPr>
        <w:shd w:val="clear" w:color="auto" w:fill="FFFFFF"/>
        <w:spacing w:after="0" w:line="276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Строк для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подання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ПСЗ –</w:t>
      </w:r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en-US"/>
        </w:rPr>
        <w:t> </w:t>
      </w:r>
      <w:r w:rsidRPr="00EA3015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10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календарних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днів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en-US"/>
        </w:rPr>
        <w:t> </w:t>
      </w:r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з моменту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отримання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доходу,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придбання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майна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або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здійснення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видатку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.</w:t>
      </w:r>
    </w:p>
    <w:p w:rsidR="00EA3015" w:rsidRPr="00EA3015" w:rsidRDefault="00EA3015" w:rsidP="00EA3015">
      <w:pPr>
        <w:shd w:val="clear" w:color="auto" w:fill="FFFFFF"/>
        <w:spacing w:after="0" w:line="276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Важливими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аспектами при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визначенні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суттєвої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зміни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є:</w:t>
      </w:r>
    </w:p>
    <w:p w:rsidR="00EA3015" w:rsidRPr="00EA3015" w:rsidRDefault="00EA3015" w:rsidP="00EA3015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саме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разова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операція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(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одержання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доходу,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купівля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майна,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здійснення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видатку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), а не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сукупний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дохід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/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витрати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за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певний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період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;</w:t>
      </w:r>
    </w:p>
    <w:p w:rsidR="00EA3015" w:rsidRPr="00EA3015" w:rsidRDefault="00EA3015" w:rsidP="00EA3015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lastRenderedPageBreak/>
        <w:t>розрахунок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ведеться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виходячи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з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нарахованої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а не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отриманої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суми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–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тобто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дохід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має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включати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податки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збори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тощо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;</w:t>
      </w:r>
    </w:p>
    <w:p w:rsidR="00EA3015" w:rsidRPr="00EA3015" w:rsidRDefault="00EA3015" w:rsidP="00EA3015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дохід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має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бути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фактично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отриманим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а не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лише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нарахованим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.</w:t>
      </w:r>
    </w:p>
    <w:p w:rsidR="00EA3015" w:rsidRPr="00EA3015" w:rsidRDefault="00EA3015" w:rsidP="00EA3015">
      <w:pPr>
        <w:shd w:val="clear" w:color="auto" w:fill="FFFFFF"/>
        <w:spacing w:after="0" w:line="276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Отже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якщо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держслужбовець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який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є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суб’єктом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подання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ПСЗ,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отримав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винагороду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премію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здійснив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покупку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будинку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автомобіля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земельної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ділянки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чи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іншого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майна,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або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ж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зробив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разовий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видаток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(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наприклад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оплатив курс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навчання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тощо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) на суму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понад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en-US"/>
        </w:rPr>
        <w:t> </w:t>
      </w:r>
      <w:r w:rsidRPr="00EA3015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50 ПМ</w:t>
      </w:r>
      <w:r w:rsidRPr="00EA3015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 </w:t>
      </w:r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–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це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вважається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суттєвою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зміною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його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майнового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стану.</w:t>
      </w:r>
    </w:p>
    <w:p w:rsidR="00EA3015" w:rsidRPr="00EA3015" w:rsidRDefault="00EA3015" w:rsidP="00EA3015">
      <w:pPr>
        <w:shd w:val="clear" w:color="auto" w:fill="FFFFFF"/>
        <w:spacing w:after="0" w:line="276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Слід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зазначити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що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якщо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при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отриманні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спадщини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подарунка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приватизації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нерухомого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майна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грошова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оцінка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такого майна не проводилась і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вартість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його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відома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ПСЗ не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подається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.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Таке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майно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зазначається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декларації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за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відповідний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період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.</w:t>
      </w:r>
    </w:p>
    <w:p w:rsidR="00EA3015" w:rsidRPr="00EA3015" w:rsidRDefault="00EA3015" w:rsidP="00EA3015">
      <w:pPr>
        <w:shd w:val="clear" w:color="auto" w:fill="FFFFFF"/>
        <w:spacing w:before="450" w:after="0" w:line="276" w:lineRule="auto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0"/>
          <w:szCs w:val="30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Скільки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ПСЗ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необхідно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подати у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разі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одночасного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придбання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майна та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здійснення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видатку</w:t>
      </w:r>
      <w:proofErr w:type="spellEnd"/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?</w:t>
      </w:r>
    </w:p>
    <w:p w:rsidR="00EA3015" w:rsidRPr="00EA3015" w:rsidRDefault="00EA3015" w:rsidP="00EA3015">
      <w:pPr>
        <w:shd w:val="clear" w:color="auto" w:fill="FFFFFF"/>
        <w:spacing w:after="0" w:line="276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Одне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якщо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видаток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здійснено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в межах 10-денного строку з моменту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набуття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майна 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власність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.</w:t>
      </w:r>
    </w:p>
    <w:p w:rsidR="00EA3015" w:rsidRPr="00EA3015" w:rsidRDefault="00EA3015" w:rsidP="00EA3015">
      <w:pPr>
        <w:shd w:val="clear" w:color="auto" w:fill="FFFFFF"/>
        <w:spacing w:after="0" w:line="276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разі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придбання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майна,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вартість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якого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перевищує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50 ПМ,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подається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одне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повідомлення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в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якому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зазначаються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відомості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відповідних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розділах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щодо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придбаного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майна та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здійсненого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видатку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.</w:t>
      </w:r>
    </w:p>
    <w:p w:rsidR="00EA3015" w:rsidRPr="00EA3015" w:rsidRDefault="00EA3015" w:rsidP="00EA3015">
      <w:pPr>
        <w:shd w:val="clear" w:color="auto" w:fill="FFFFFF"/>
        <w:spacing w:after="0" w:line="276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Це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правило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діє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випадку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якщо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при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придбанні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майна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суб’єкт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декларування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здійснив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відповідний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одноразовий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видаток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у той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самий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день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або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в межах 10денного строку з моменту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набуття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майна 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власність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.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Якщо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з будь-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яких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причин право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власності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на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майно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суб’єкт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декларування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набув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в один день, 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сплатив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за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нього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пізніше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ніж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через 10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днів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–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подається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2 (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або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більше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) ПСЗ.</w:t>
      </w:r>
    </w:p>
    <w:p w:rsidR="00EA3015" w:rsidRPr="00EA3015" w:rsidRDefault="00EA3015" w:rsidP="00EA3015">
      <w:pPr>
        <w:shd w:val="clear" w:color="auto" w:fill="FFFFFF"/>
        <w:spacing w:before="450" w:after="0" w:line="276" w:lineRule="auto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12529"/>
          <w:sz w:val="30"/>
          <w:szCs w:val="30"/>
          <w:lang w:val="ru-RU"/>
        </w:rPr>
      </w:pPr>
      <w:r w:rsidRPr="00EA3015">
        <w:rPr>
          <w:rFonts w:ascii="ProbaPro" w:eastAsia="Times New Roman" w:hAnsi="ProbaPro" w:cs="Times New Roman"/>
          <w:b/>
          <w:bCs/>
          <w:color w:val="212529"/>
          <w:sz w:val="30"/>
          <w:szCs w:val="30"/>
          <w:bdr w:val="none" w:sz="0" w:space="0" w:color="auto" w:frame="1"/>
          <w:lang w:val="ru-RU"/>
        </w:rPr>
        <w:t>Як подати ПСЗ?</w:t>
      </w:r>
    </w:p>
    <w:p w:rsidR="00EA3015" w:rsidRPr="00EA3015" w:rsidRDefault="00EA3015" w:rsidP="00EA3015">
      <w:pPr>
        <w:shd w:val="clear" w:color="auto" w:fill="FFFFFF"/>
        <w:spacing w:after="0" w:line="276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Для того,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щоб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подати ПСЗ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необхідно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:</w:t>
      </w:r>
    </w:p>
    <w:p w:rsidR="00EA3015" w:rsidRPr="00EA3015" w:rsidRDefault="00EA3015" w:rsidP="00EA3015">
      <w:pPr>
        <w:numPr>
          <w:ilvl w:val="0"/>
          <w:numId w:val="5"/>
        </w:numPr>
        <w:shd w:val="clear" w:color="auto" w:fill="FFFFFF"/>
        <w:spacing w:beforeAutospacing="1" w:after="0" w:line="276" w:lineRule="auto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увійти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до</w:t>
      </w:r>
      <w:hyperlink r:id="rId7" w:history="1">
        <w:r w:rsidRPr="00EA3015">
          <w:rPr>
            <w:rFonts w:ascii="ProbaPro" w:eastAsia="Times New Roman" w:hAnsi="ProbaPro" w:cs="Times New Roman"/>
            <w:color w:val="004BC1"/>
            <w:sz w:val="27"/>
            <w:szCs w:val="27"/>
            <w:u w:val="single"/>
            <w:bdr w:val="none" w:sz="0" w:space="0" w:color="auto" w:frame="1"/>
            <w:lang w:val="en-US"/>
          </w:rPr>
          <w:t> </w:t>
        </w:r>
      </w:hyperlink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Реєстру декларацій</w:t>
      </w:r>
      <w:hyperlink r:id="rId8" w:history="1">
        <w:r w:rsidRPr="00EA3015">
          <w:rPr>
            <w:rFonts w:ascii="ProbaPro" w:eastAsia="Times New Roman" w:hAnsi="ProbaPro" w:cs="Times New Roman"/>
            <w:color w:val="004BC1"/>
            <w:sz w:val="27"/>
            <w:szCs w:val="27"/>
            <w:u w:val="single"/>
            <w:bdr w:val="none" w:sz="0" w:space="0" w:color="auto" w:frame="1"/>
            <w:lang w:val="en-US"/>
          </w:rPr>
          <w:t> </w:t>
        </w:r>
      </w:hyperlink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за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допомогою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електронного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підпису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;</w:t>
      </w:r>
    </w:p>
    <w:p w:rsidR="00EA3015" w:rsidRPr="00EA3015" w:rsidRDefault="00EA3015" w:rsidP="00EA3015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обрати в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особистому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кабінеті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«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Нове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повідомлення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про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суттєві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зміни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в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майновому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стані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»;</w:t>
      </w:r>
    </w:p>
    <w:p w:rsidR="00EA3015" w:rsidRPr="00EA3015" w:rsidRDefault="00EA3015" w:rsidP="00EA3015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ознайомитись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з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інструкцією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та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заповнити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форму, внести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необхідні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дані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;</w:t>
      </w:r>
    </w:p>
    <w:p w:rsidR="00EA3015" w:rsidRPr="00EA3015" w:rsidRDefault="00EA3015" w:rsidP="00EA3015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</w:pP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t>підписати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t>та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t>подати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t>документ</w:t>
      </w:r>
      <w:proofErr w:type="spellEnd"/>
      <w:r w:rsidRPr="00EA3015">
        <w:rPr>
          <w:rFonts w:ascii="ProbaPro" w:eastAsia="Times New Roman" w:hAnsi="ProbaPro" w:cs="Times New Roman"/>
          <w:color w:val="212529"/>
          <w:sz w:val="27"/>
          <w:szCs w:val="27"/>
          <w:lang w:val="en-US"/>
        </w:rPr>
        <w:t>.</w:t>
      </w:r>
    </w:p>
    <w:p w:rsidR="00EA3015" w:rsidRPr="00EA3015" w:rsidRDefault="00EA3015" w:rsidP="00EA3015">
      <w:pPr>
        <w:shd w:val="clear" w:color="auto" w:fill="FFFFFF"/>
        <w:spacing w:after="0" w:line="276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Важливо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: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відомості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про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суттєві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зміни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в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майновому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стані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обов'язково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мають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бути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відображені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декларантом у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черговій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щорічній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декларації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за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відповідний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звітний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період</w:t>
      </w:r>
      <w:proofErr w:type="spellEnd"/>
      <w:r w:rsidRPr="00EA3015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.</w:t>
      </w:r>
    </w:p>
    <w:p w:rsidR="004B184D" w:rsidRDefault="00226E68" w:rsidP="00EA3015">
      <w:pPr>
        <w:spacing w:after="0" w:line="276" w:lineRule="auto"/>
      </w:pPr>
    </w:p>
    <w:sectPr w:rsidR="004B18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1F4C"/>
    <w:multiLevelType w:val="multilevel"/>
    <w:tmpl w:val="9FFC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B671F"/>
    <w:multiLevelType w:val="multilevel"/>
    <w:tmpl w:val="A78A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92AB7"/>
    <w:multiLevelType w:val="multilevel"/>
    <w:tmpl w:val="EF32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E40B8"/>
    <w:multiLevelType w:val="multilevel"/>
    <w:tmpl w:val="07C8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EF7136"/>
    <w:multiLevelType w:val="multilevel"/>
    <w:tmpl w:val="EF16E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15"/>
    <w:rsid w:val="00226E68"/>
    <w:rsid w:val="003760B0"/>
    <w:rsid w:val="006264C0"/>
    <w:rsid w:val="00EA3015"/>
    <w:rsid w:val="00F0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2F985-54A8-422D-802F-13733CBB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47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6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45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azk.gov.ua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nazk.gov.ua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nazk.gov.ua/4199/" TargetMode="External"/><Relationship Id="rId5" Type="http://schemas.openxmlformats.org/officeDocument/2006/relationships/hyperlink" Target="https://wiki.nazk.gov.ua/420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2025-01-02T14:08:00Z</dcterms:created>
  <dcterms:modified xsi:type="dcterms:W3CDTF">2025-01-02T14:27:00Z</dcterms:modified>
</cp:coreProperties>
</file>